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D75B49" w:rsidRPr="006A113D" w:rsidRDefault="00D75B49" w:rsidP="00D75B49">
      <w:pPr>
        <w:rPr>
          <w:rFonts w:ascii="Arial" w:hAnsi="Arial" w:cs="Arial"/>
        </w:rPr>
      </w:pPr>
    </w:p>
    <w:p w:rsidR="002C188E" w:rsidRPr="006A113D" w:rsidRDefault="002C188E" w:rsidP="002C188E">
      <w:pPr>
        <w:rPr>
          <w:rFonts w:ascii="Arial" w:hAnsi="Arial" w:cs="Arial"/>
        </w:rPr>
      </w:pPr>
    </w:p>
    <w:p w:rsidR="002C188E" w:rsidRPr="006A113D" w:rsidRDefault="002C188E" w:rsidP="002C188E">
      <w:pPr>
        <w:rPr>
          <w:rFonts w:ascii="Arial" w:hAnsi="Arial" w:cs="Arial"/>
          <w:b/>
        </w:rPr>
      </w:pPr>
      <w:r w:rsidRPr="006A113D">
        <w:rPr>
          <w:rFonts w:ascii="Arial" w:hAnsi="Arial" w:cs="Arial"/>
          <w:b/>
        </w:rPr>
        <w:t>TEMA: MI MUNDO INTERIOR</w:t>
      </w:r>
    </w:p>
    <w:p w:rsidR="002C188E" w:rsidRPr="006A113D" w:rsidRDefault="002C188E" w:rsidP="002C188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2C188E"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2C188E" w:rsidRPr="006A113D" w:rsidRDefault="002C188E"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rPr>
                <w:rFonts w:ascii="Arial" w:hAnsi="Arial" w:cs="Arial"/>
              </w:rPr>
            </w:pPr>
          </w:p>
          <w:p w:rsidR="002C188E" w:rsidRPr="006A113D" w:rsidRDefault="002C188E" w:rsidP="00950F94">
            <w:pPr>
              <w:autoSpaceDE w:val="0"/>
              <w:autoSpaceDN w:val="0"/>
              <w:adjustRightInd w:val="0"/>
              <w:rPr>
                <w:rFonts w:ascii="Arial" w:hAnsi="Arial" w:cs="Arial"/>
                <w:b/>
                <w:color w:val="1A171B"/>
              </w:rPr>
            </w:pPr>
            <w:r w:rsidRPr="006A113D">
              <w:rPr>
                <w:rFonts w:ascii="Arial" w:hAnsi="Arial" w:cs="Arial"/>
                <w:b/>
                <w:sz w:val="22"/>
              </w:rPr>
              <w:t xml:space="preserve">TÍTULO: DEBATE SOBRE EL DERECHO A </w:t>
            </w:r>
            <w:smartTag w:uri="urn:schemas-microsoft-com:office:smarttags" w:element="PersonName">
              <w:smartTagPr>
                <w:attr w:name="ProductID" w:val="LA DIVERSIDAD"/>
              </w:smartTagPr>
              <w:r w:rsidRPr="006A113D">
                <w:rPr>
                  <w:rFonts w:ascii="Arial" w:hAnsi="Arial" w:cs="Arial"/>
                  <w:b/>
                  <w:sz w:val="22"/>
                </w:rPr>
                <w:t>LA DIVERSIDAD</w:t>
              </w:r>
            </w:smartTag>
          </w:p>
          <w:p w:rsidR="002C188E" w:rsidRPr="006A113D" w:rsidRDefault="002C188E" w:rsidP="00950F94">
            <w:pPr>
              <w:rPr>
                <w:rFonts w:ascii="Arial" w:hAnsi="Arial" w:cs="Arial"/>
              </w:rPr>
            </w:pPr>
          </w:p>
          <w:p w:rsidR="002C188E" w:rsidRPr="006A113D" w:rsidRDefault="002C188E"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2C188E" w:rsidRPr="006A113D" w:rsidRDefault="002C188E" w:rsidP="00950F94">
            <w:pPr>
              <w:rPr>
                <w:rFonts w:ascii="Arial" w:hAnsi="Arial" w:cs="Arial"/>
              </w:rPr>
            </w:pPr>
          </w:p>
        </w:tc>
      </w:tr>
      <w:tr w:rsidR="002C188E" w:rsidRPr="006A113D" w:rsidTr="00950F94">
        <w:tc>
          <w:tcPr>
            <w:tcW w:w="1728"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14"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rPr>
                <w:rFonts w:ascii="Arial" w:hAnsi="Arial" w:cs="Arial"/>
                <w:b/>
              </w:rPr>
            </w:pPr>
          </w:p>
          <w:p w:rsidR="002C188E" w:rsidRPr="006A113D" w:rsidRDefault="002C188E" w:rsidP="00950F94">
            <w:pPr>
              <w:rPr>
                <w:rFonts w:ascii="Arial" w:hAnsi="Arial" w:cs="Arial"/>
                <w:b/>
              </w:rPr>
            </w:pPr>
            <w:r w:rsidRPr="006A113D">
              <w:rPr>
                <w:rFonts w:ascii="Arial" w:hAnsi="Arial" w:cs="Arial"/>
                <w:b/>
                <w:sz w:val="22"/>
              </w:rPr>
              <w:t>DURACIÓN:  120 minutos</w:t>
            </w:r>
          </w:p>
        </w:tc>
      </w:tr>
      <w:tr w:rsidR="002C188E" w:rsidRPr="006A113D" w:rsidTr="00950F94">
        <w:tc>
          <w:tcPr>
            <w:tcW w:w="1728"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jc w:val="center"/>
              <w:rPr>
                <w:rFonts w:ascii="Arial" w:hAnsi="Arial" w:cs="Arial"/>
                <w:sz w:val="20"/>
              </w:rPr>
            </w:pPr>
          </w:p>
          <w:p w:rsidR="002C188E" w:rsidRPr="006A113D" w:rsidRDefault="002C188E"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15"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2C188E" w:rsidRPr="006A113D" w:rsidRDefault="002C188E"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jc w:val="both"/>
              <w:rPr>
                <w:rFonts w:ascii="Arial" w:hAnsi="Arial" w:cs="Arial"/>
                <w:b/>
              </w:rPr>
            </w:pPr>
          </w:p>
          <w:p w:rsidR="002C188E" w:rsidRPr="006A113D" w:rsidRDefault="002C188E" w:rsidP="00950F94">
            <w:pPr>
              <w:jc w:val="both"/>
              <w:rPr>
                <w:rFonts w:ascii="Arial" w:hAnsi="Arial" w:cs="Arial"/>
                <w:b/>
              </w:rPr>
            </w:pPr>
            <w:r w:rsidRPr="006A113D">
              <w:rPr>
                <w:rFonts w:ascii="Arial" w:hAnsi="Arial" w:cs="Arial"/>
                <w:b/>
                <w:sz w:val="22"/>
              </w:rPr>
              <w:t>PROPÓSITO: Que las y los estudiantes…</w:t>
            </w:r>
            <w:r w:rsidRPr="006A113D">
              <w:rPr>
                <w:rFonts w:ascii="Arial" w:hAnsi="Arial" w:cs="Arial"/>
                <w:color w:val="000000"/>
                <w:sz w:val="22"/>
                <w:szCs w:val="20"/>
                <w:lang w:eastAsia="es-MX"/>
              </w:rPr>
              <w:t xml:space="preserve"> </w:t>
            </w:r>
            <w:bookmarkStart w:id="0" w:name="_GoBack"/>
            <w:r w:rsidRPr="006A113D">
              <w:rPr>
                <w:rFonts w:ascii="Arial" w:hAnsi="Arial" w:cs="Arial"/>
                <w:color w:val="000000"/>
                <w:sz w:val="22"/>
                <w:szCs w:val="20"/>
                <w:lang w:eastAsia="es-MX"/>
              </w:rPr>
              <w:t>Reflexionen sobre los efectos negativos que tiene la discriminación en el desarrollo personal y social. Que aprenda a organizar un debate con procedimientos democráticos.</w:t>
            </w:r>
            <w:bookmarkEnd w:id="0"/>
          </w:p>
          <w:p w:rsidR="002C188E" w:rsidRPr="006A113D" w:rsidRDefault="002C188E" w:rsidP="00950F94">
            <w:pPr>
              <w:jc w:val="both"/>
              <w:rPr>
                <w:rFonts w:ascii="Arial" w:hAnsi="Arial" w:cs="Arial"/>
                <w:b/>
              </w:rPr>
            </w:pPr>
          </w:p>
          <w:p w:rsidR="002C188E" w:rsidRPr="006A113D" w:rsidRDefault="002C188E" w:rsidP="00950F94">
            <w:pPr>
              <w:jc w:val="both"/>
              <w:rPr>
                <w:rFonts w:ascii="Arial" w:hAnsi="Arial" w:cs="Arial"/>
                <w:b/>
              </w:rPr>
            </w:pPr>
            <w:r w:rsidRPr="006A113D">
              <w:rPr>
                <w:rFonts w:ascii="Arial" w:hAnsi="Arial" w:cs="Arial"/>
                <w:b/>
                <w:sz w:val="22"/>
              </w:rPr>
              <w:t>CONTENIDOS EN RELACIÓN CON LAS COMPETENCIAS GENÉRICAS Y SUS ATRIBUTOS:</w:t>
            </w:r>
          </w:p>
          <w:p w:rsidR="002C188E" w:rsidRPr="006A113D" w:rsidRDefault="002C188E"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Práctica de la comunicación asertiva</w:t>
            </w:r>
          </w:p>
          <w:p w:rsidR="002C188E" w:rsidRPr="006A113D" w:rsidRDefault="002C188E"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Práctica de los valor</w:t>
            </w:r>
            <w:r w:rsidRPr="006A113D">
              <w:rPr>
                <w:rFonts w:ascii="Arial" w:hAnsi="Arial" w:cs="Arial"/>
                <w:color w:val="1A171B"/>
              </w:rPr>
              <w:t>es democráticos del pluralismo, la tolerancia y el respeto a la propia persona y a los demás</w:t>
            </w:r>
          </w:p>
          <w:p w:rsidR="002C188E" w:rsidRPr="006A113D" w:rsidRDefault="002C188E"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rPr>
              <w:t>Práctica del procedimiento democrático del diálogo</w:t>
            </w:r>
          </w:p>
          <w:p w:rsidR="002C188E" w:rsidRPr="006A113D" w:rsidRDefault="002C188E" w:rsidP="00950F94">
            <w:pPr>
              <w:jc w:val="both"/>
              <w:rPr>
                <w:rFonts w:ascii="Arial" w:hAnsi="Arial" w:cs="Arial"/>
                <w:b/>
              </w:rPr>
            </w:pPr>
          </w:p>
        </w:tc>
      </w:tr>
      <w:tr w:rsidR="002C188E"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2C188E" w:rsidRPr="006A113D" w:rsidRDefault="002C188E"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16"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la actividad que se propone consiste en organizar un debate en torno al tema de la discriminación a las personas que tienen una orientación o preferencia sexual distinta. Se requiere que antes de la sesión, el facilitador(a) haya invitado al grupo a llevar a cabo el debate y organizado los equipos que van a presentar posiciones distintas para que con anticipación se preparen allegándose información y desarrollando los argumentos que van a presentar. Los equipos de debate recomendados son cuatro: quienes presentan el problema, quienes están a favor de que no se limiten los derechos de las personas con una orientación sexual distinta, quienes están a favor de que se les limite en algunos derechos y quienes están a favor de que no se les reconozca derechos porque hacerlo acarreará muchos problemas a la sociedad. Para guiarse en la preparación del debate,  se recomienda al facilitador(a) leer con atención la ficha técnica, revisar el procedimiento a seguir y valorar si requiere complementar la información o adaptar alguna parte de la actividad. </w:t>
            </w:r>
          </w:p>
          <w:p w:rsidR="002C188E" w:rsidRPr="006A113D" w:rsidRDefault="002C188E" w:rsidP="00950F94">
            <w:pPr>
              <w:jc w:val="both"/>
              <w:rPr>
                <w:rFonts w:ascii="Arial" w:hAnsi="Arial" w:cs="Arial"/>
              </w:rPr>
            </w:pPr>
          </w:p>
          <w:p w:rsidR="002C188E" w:rsidRPr="006A113D" w:rsidRDefault="002C188E" w:rsidP="00950F94">
            <w:pPr>
              <w:jc w:val="both"/>
              <w:rPr>
                <w:rFonts w:ascii="Arial" w:hAnsi="Arial" w:cs="Arial"/>
              </w:rPr>
            </w:pPr>
            <w:r w:rsidRPr="006A113D">
              <w:rPr>
                <w:rFonts w:ascii="Arial" w:hAnsi="Arial" w:cs="Arial"/>
                <w:b/>
                <w:sz w:val="22"/>
              </w:rPr>
              <w:t xml:space="preserve">MATERIAL QUE SE REQUIERE: </w:t>
            </w:r>
          </w:p>
          <w:p w:rsidR="002C188E" w:rsidRPr="006A113D" w:rsidRDefault="002C188E" w:rsidP="00950F94">
            <w:pPr>
              <w:jc w:val="both"/>
              <w:rPr>
                <w:rFonts w:ascii="Arial" w:hAnsi="Arial" w:cs="Arial"/>
              </w:rPr>
            </w:pPr>
            <w:r w:rsidRPr="006A113D">
              <w:rPr>
                <w:rFonts w:ascii="Arial" w:hAnsi="Arial" w:cs="Arial"/>
                <w:sz w:val="22"/>
              </w:rPr>
              <w:t xml:space="preserve">Fotocopias de los principios para el diálogo que deben observar las y los estudiantes durante el debate; garbanzos u otro tipo de semilla grande para regular las intervenciones de cada participante; </w:t>
            </w:r>
          </w:p>
          <w:p w:rsidR="002C188E" w:rsidRPr="006A113D" w:rsidRDefault="002C188E" w:rsidP="00950F94">
            <w:pPr>
              <w:jc w:val="both"/>
              <w:rPr>
                <w:rFonts w:ascii="Arial" w:hAnsi="Arial" w:cs="Arial"/>
              </w:rPr>
            </w:pPr>
          </w:p>
        </w:tc>
      </w:tr>
      <w:tr w:rsidR="002C188E" w:rsidRPr="006A113D" w:rsidTr="00950F94">
        <w:tc>
          <w:tcPr>
            <w:tcW w:w="1728"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17"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2C188E" w:rsidRPr="006A113D" w:rsidRDefault="002C188E" w:rsidP="00950F94">
            <w:pPr>
              <w:autoSpaceDE w:val="0"/>
              <w:autoSpaceDN w:val="0"/>
              <w:adjustRightInd w:val="0"/>
              <w:jc w:val="both"/>
              <w:rPr>
                <w:rFonts w:ascii="Arial" w:hAnsi="Arial" w:cs="Arial"/>
                <w:b/>
                <w:color w:val="1A171B"/>
              </w:rPr>
            </w:pPr>
          </w:p>
          <w:p w:rsidR="002C188E" w:rsidRPr="006A113D" w:rsidRDefault="002C188E" w:rsidP="00950F94">
            <w:pPr>
              <w:autoSpaceDE w:val="0"/>
              <w:autoSpaceDN w:val="0"/>
              <w:adjustRightInd w:val="0"/>
              <w:jc w:val="both"/>
              <w:rPr>
                <w:rFonts w:ascii="Arial" w:hAnsi="Arial" w:cs="Arial"/>
                <w:b/>
                <w:color w:val="1A171B"/>
              </w:rPr>
            </w:pPr>
            <w:r w:rsidRPr="006A113D">
              <w:rPr>
                <w:rFonts w:ascii="Arial" w:hAnsi="Arial" w:cs="Arial"/>
                <w:b/>
                <w:color w:val="1A171B"/>
                <w:sz w:val="22"/>
              </w:rPr>
              <w:t>¿Sabías que…</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La homosexualidad y el lesbianismo se han reprimido con violencia en el pasado y aún se reprimen en nuestros días. En numerosas partes del planeta, se castiga con la cárcel, con sanciones físicas y hasta con la pena de muerte.</w:t>
            </w:r>
            <w:r w:rsidRPr="006A113D">
              <w:rPr>
                <w:rStyle w:val="Refdenotaalpie"/>
                <w:rFonts w:ascii="Arial" w:hAnsi="Arial" w:cs="Arial"/>
                <w:color w:val="1A171B"/>
                <w:sz w:val="22"/>
              </w:rPr>
              <w:footnoteReference w:id="1"/>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Las preferencias u orientaciones sexuales diferentes a la heterosexual han estado sujetas a la discriminación en nuestra cultura, principalmente por la influencia de la moral occidental que las considera contrarias a la naturaleza y amenaza para la sociedad porque se alejan del “ideal reproductivo” y del modelo de familia tradicional, es decir, se les prohíbe y estigmatiza porque su fin no es la procreación y porque plantean una forma diferente de pensar las relaciones familiares y vivir los valores humanos.</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La discriminación a las personas con orientaciones sexuales diversas (homosexual o bisexual) se manifiestan de manera directa o indirecta: la indiferencia, el rechazo, las burlas, los insultos, los golpes, el asesinato; la exclusión en el trabajo, en la escuela, en clínicas y hospitales, en espacios públicos y en la vida política. </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Estas formas de discriminación, practicadas por las y los ciudadanos se califican como </w:t>
            </w:r>
            <w:r w:rsidRPr="006A113D">
              <w:rPr>
                <w:rFonts w:ascii="Arial" w:hAnsi="Arial" w:cs="Arial"/>
                <w:color w:val="1A171B"/>
                <w:sz w:val="22"/>
                <w:u w:val="single"/>
              </w:rPr>
              <w:t>homofobia</w:t>
            </w:r>
            <w:r w:rsidRPr="006A113D">
              <w:rPr>
                <w:rFonts w:ascii="Arial" w:hAnsi="Arial" w:cs="Arial"/>
                <w:color w:val="1A171B"/>
                <w:sz w:val="22"/>
              </w:rPr>
              <w:t xml:space="preserve">. Practicadas por autoridades, servidores públicos, policías, agentes del ministerio público, jueces, personal médico o de instituciones educativas o empresas, se consideran </w:t>
            </w:r>
            <w:r w:rsidRPr="006A113D">
              <w:rPr>
                <w:rFonts w:ascii="Arial" w:hAnsi="Arial" w:cs="Arial"/>
                <w:color w:val="1A171B"/>
                <w:sz w:val="22"/>
                <w:u w:val="single"/>
              </w:rPr>
              <w:t>violaciones a los derechos humanos</w:t>
            </w:r>
            <w:r w:rsidRPr="006A113D">
              <w:rPr>
                <w:rFonts w:ascii="Arial" w:hAnsi="Arial" w:cs="Arial"/>
                <w:color w:val="1A171B"/>
                <w:sz w:val="22"/>
              </w:rPr>
              <w:t xml:space="preserve">. </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La homofobia es el odio, rechazo e intolerancia hacia las personas que tienen conductas atribuidas a la homosexualidad o que son homosexuales. Una persona homofóbica puede llegar a sentir temor, enojo, odio, angustia o impotencia cuando observa actitudes consideradas femeninas en los hombres o actitudes consideradas masculinas en las mujeres. Estos sentimientos suelen no ser conscientes en quienes los padecen y pueden manifestarse a través de las diferentes formas de las discriminación y violencia que ya mencionamos antes.</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Algunas encuestas nacionales realizadas por el Consejo Nacional para Prevenir </w:t>
            </w:r>
            <w:smartTag w:uri="urn:schemas-microsoft-com:office:smarttags" w:element="PersonName">
              <w:smartTagPr>
                <w:attr w:name="ProductID" w:val="la Discriminaci￳n"/>
              </w:smartTagPr>
              <w:r w:rsidRPr="006A113D">
                <w:rPr>
                  <w:rFonts w:ascii="Arial" w:hAnsi="Arial" w:cs="Arial"/>
                  <w:color w:val="1A171B"/>
                  <w:sz w:val="22"/>
                </w:rPr>
                <w:t>la Discriminación</w:t>
              </w:r>
            </w:smartTag>
            <w:r w:rsidRPr="006A113D">
              <w:rPr>
                <w:rFonts w:ascii="Arial" w:hAnsi="Arial" w:cs="Arial"/>
                <w:color w:val="1A171B"/>
                <w:sz w:val="22"/>
              </w:rPr>
              <w:t xml:space="preserve"> muestran que hay un grado importante de homofobia entre las y los mexicanos. Más de una tercera parte ha expresado que no compartiría techo con una persona homosexual y entre las y los jóvenes, solo una tercera parte ha expresado que haría acciones para apoyar los derechos de las </w:t>
            </w:r>
            <w:r w:rsidRPr="006A113D">
              <w:rPr>
                <w:rFonts w:ascii="Arial" w:hAnsi="Arial" w:cs="Arial"/>
                <w:color w:val="1A171B"/>
                <w:sz w:val="22"/>
              </w:rPr>
              <w:lastRenderedPageBreak/>
              <w:t xml:space="preserve">personas homosexuales. La mayor parte de  estas opiniones se basan en los prejuicios y el desconocimiento. Por eso, es muy importante la información científica y apegada al respeto de los derechos humanos así la reflexión crítica de nuestras formas de pensar y actuar. </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Ser heterosexual, homosexual o bisexual son condiciones humanas que ocurren en todas las sociedades y grupos humanos. Las orientaciones sexuales suelen descubrirse alrededor de la juventud, a veces antes y, ocasionalmente, pueden ser elegidas. </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rPr>
                <w:rFonts w:ascii="Arial" w:hAnsi="Arial" w:cs="Arial"/>
              </w:rPr>
            </w:pPr>
            <w:r w:rsidRPr="006A113D">
              <w:rPr>
                <w:rFonts w:ascii="Arial" w:hAnsi="Arial" w:cs="Arial"/>
                <w:sz w:val="22"/>
              </w:rPr>
              <w:t xml:space="preserve">Encontramos así una diversidad de actuaciones del ser mujer y del ser hombre; del relacionarse amorosamente, vivir y expresar la sexualidad que siempre han existido aunque antes no se les hubiera reconocido como una condición humana </w:t>
            </w:r>
            <w:r w:rsidRPr="006A113D">
              <w:rPr>
                <w:rStyle w:val="Refdenotaalpie"/>
                <w:rFonts w:ascii="Arial" w:hAnsi="Arial" w:cs="Arial"/>
                <w:sz w:val="22"/>
              </w:rPr>
              <w:footnoteReference w:id="2"/>
            </w:r>
            <w:r w:rsidRPr="006A113D">
              <w:rPr>
                <w:rFonts w:ascii="Arial" w:hAnsi="Arial" w:cs="Arial"/>
                <w:sz w:val="22"/>
              </w:rPr>
              <w:t>…</w:t>
            </w:r>
          </w:p>
          <w:p w:rsidR="002C188E" w:rsidRPr="006A113D" w:rsidRDefault="002C188E" w:rsidP="00950F94">
            <w:pPr>
              <w:jc w:val="both"/>
              <w:rPr>
                <w:rFonts w:ascii="Arial" w:hAnsi="Arial" w:cs="Arial"/>
              </w:rPr>
            </w:pPr>
            <w:r w:rsidRPr="006A113D">
              <w:rPr>
                <w:rFonts w:ascii="Arial" w:hAnsi="Arial" w:cs="Arial"/>
                <w:sz w:val="22"/>
                <w:u w:val="single"/>
              </w:rPr>
              <w:t>Heterosexuales:</w:t>
            </w:r>
            <w:r w:rsidRPr="006A113D">
              <w:rPr>
                <w:rFonts w:ascii="Arial" w:hAnsi="Arial" w:cs="Arial"/>
                <w:sz w:val="22"/>
              </w:rPr>
              <w:t xml:space="preserve"> son personas que se relacionan erótica y afectivamente con personas de otro sexo</w:t>
            </w:r>
          </w:p>
          <w:p w:rsidR="002C188E" w:rsidRPr="006A113D" w:rsidRDefault="002C188E" w:rsidP="00950F94">
            <w:pPr>
              <w:jc w:val="both"/>
              <w:rPr>
                <w:rFonts w:ascii="Arial" w:hAnsi="Arial" w:cs="Arial"/>
              </w:rPr>
            </w:pPr>
            <w:r w:rsidRPr="006A113D">
              <w:rPr>
                <w:rFonts w:ascii="Arial" w:hAnsi="Arial" w:cs="Arial"/>
                <w:sz w:val="22"/>
                <w:u w:val="single"/>
              </w:rPr>
              <w:t>Homosexuales:</w:t>
            </w:r>
            <w:r w:rsidRPr="006A113D">
              <w:rPr>
                <w:rFonts w:ascii="Arial" w:hAnsi="Arial" w:cs="Arial"/>
                <w:sz w:val="22"/>
              </w:rPr>
              <w:t xml:space="preserve"> son hombres que se relacionan erótica y afectivamente con otros hombres</w:t>
            </w:r>
            <w:r w:rsidRPr="006A113D">
              <w:rPr>
                <w:rFonts w:ascii="Arial" w:hAnsi="Arial" w:cs="Arial"/>
                <w:color w:val="FF0000"/>
                <w:sz w:val="22"/>
              </w:rPr>
              <w:t xml:space="preserve">, </w:t>
            </w:r>
            <w:r w:rsidRPr="006A113D">
              <w:rPr>
                <w:rFonts w:ascii="Arial" w:hAnsi="Arial" w:cs="Arial"/>
                <w:sz w:val="22"/>
              </w:rPr>
              <w:t>aunque este término también designa a hombres y mujeres que mantienen relaciones con personas de su mismo sexo.</w:t>
            </w:r>
          </w:p>
          <w:p w:rsidR="002C188E" w:rsidRPr="006A113D" w:rsidRDefault="002C188E" w:rsidP="00950F94">
            <w:pPr>
              <w:jc w:val="both"/>
              <w:rPr>
                <w:rFonts w:ascii="Arial" w:hAnsi="Arial" w:cs="Arial"/>
              </w:rPr>
            </w:pPr>
            <w:r w:rsidRPr="006A113D">
              <w:rPr>
                <w:rFonts w:ascii="Arial" w:hAnsi="Arial" w:cs="Arial"/>
                <w:sz w:val="22"/>
                <w:u w:val="single"/>
              </w:rPr>
              <w:t>Lesbianas</w:t>
            </w:r>
            <w:r w:rsidRPr="006A113D">
              <w:rPr>
                <w:rFonts w:ascii="Arial" w:hAnsi="Arial" w:cs="Arial"/>
                <w:sz w:val="22"/>
              </w:rPr>
              <w:t>: son mujeres que se relacionan erótica y afectivamente con otras mujeres</w:t>
            </w:r>
          </w:p>
          <w:p w:rsidR="002C188E" w:rsidRPr="006A113D" w:rsidRDefault="002C188E" w:rsidP="00950F94">
            <w:pPr>
              <w:jc w:val="both"/>
              <w:rPr>
                <w:rFonts w:ascii="Arial" w:hAnsi="Arial" w:cs="Arial"/>
              </w:rPr>
            </w:pPr>
            <w:r w:rsidRPr="006A113D">
              <w:rPr>
                <w:rFonts w:ascii="Arial" w:hAnsi="Arial" w:cs="Arial"/>
                <w:sz w:val="22"/>
                <w:u w:val="single"/>
              </w:rPr>
              <w:t>Bisexuales</w:t>
            </w:r>
            <w:r w:rsidRPr="006A113D">
              <w:rPr>
                <w:rFonts w:ascii="Arial" w:hAnsi="Arial" w:cs="Arial"/>
                <w:sz w:val="22"/>
              </w:rPr>
              <w:t>: son personas que se relacionan erótica y afectivamente con hombres y mujeres</w:t>
            </w:r>
          </w:p>
          <w:p w:rsidR="002C188E" w:rsidRPr="006A113D" w:rsidRDefault="002C188E" w:rsidP="00950F94">
            <w:pPr>
              <w:jc w:val="both"/>
              <w:rPr>
                <w:rFonts w:ascii="Arial" w:hAnsi="Arial" w:cs="Arial"/>
              </w:rPr>
            </w:pPr>
            <w:r w:rsidRPr="006A113D">
              <w:rPr>
                <w:rFonts w:ascii="Arial" w:hAnsi="Arial" w:cs="Arial"/>
                <w:sz w:val="22"/>
                <w:u w:val="single"/>
              </w:rPr>
              <w:t>Travestis:</w:t>
            </w:r>
            <w:r w:rsidRPr="006A113D">
              <w:rPr>
                <w:rFonts w:ascii="Arial" w:hAnsi="Arial" w:cs="Arial"/>
                <w:sz w:val="22"/>
              </w:rPr>
              <w:t xml:space="preserve"> son personas a quienes les gusta usar vestimenta, lenguaje, accesorios, maneras de ser (estereotipos y roles) que se consideran propios del otro género. Existen travestis homosexuales, heterosexuales y bisexuales.</w:t>
            </w: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sz w:val="22"/>
                <w:u w:val="single"/>
              </w:rPr>
              <w:t>Transexuales:</w:t>
            </w:r>
            <w:r w:rsidRPr="006A113D">
              <w:rPr>
                <w:rFonts w:ascii="Arial" w:hAnsi="Arial" w:cs="Arial"/>
                <w:sz w:val="22"/>
              </w:rPr>
              <w:t xml:space="preserve"> son las personas que se reconocen “atrapadas” en un cuerpo de otro sexo, “mujeres con cuerpo de hombre o bien, hombres con cuerpo de mujer”. Actualmente existen procedimientos quirúrgicos que se acompañan de terapia psicológica y hormonal para hacer una reasignación de género, que permita a la persona hacer coincidir su cuerpo con su identidad de género.</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Las diferentes investigaciones científicas para determinar cuál es el origen de la diversidad sexual, es decir, de que haya personas con distintas orientaciones sexuales aún no son concluyentes en torno a las causas que pueden ser genéticas, psicológicas y culturales.</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autoSpaceDE w:val="0"/>
              <w:autoSpaceDN w:val="0"/>
              <w:adjustRightInd w:val="0"/>
              <w:jc w:val="both"/>
              <w:rPr>
                <w:rFonts w:ascii="Arial" w:hAnsi="Arial" w:cs="Arial"/>
                <w:color w:val="1A171B"/>
              </w:rPr>
            </w:pPr>
            <w:r w:rsidRPr="006A113D">
              <w:rPr>
                <w:rFonts w:ascii="Arial" w:hAnsi="Arial" w:cs="Arial"/>
                <w:color w:val="1A171B"/>
                <w:sz w:val="22"/>
              </w:rPr>
              <w:t xml:space="preserve">En lo que sí hay certeza es que quienes tienen una orientación sexual diferente a la heterosexual que es la dominante culturalmente en nuestra sociedad, son personas y ciudadanos/as con todos los derechos, al igual que alguien con orientación homosexual o bisexual. En ningún caso deben juzgarse o estigmatizarse a quienes tengan alguna orientación o preferencia sexual y menos discriminarles y faltarles gravemente al respeto. Esta posición está respaldada en </w:t>
            </w:r>
            <w:smartTag w:uri="urn:schemas-microsoft-com:office:smarttags" w:element="PersonName">
              <w:smartTagPr>
                <w:attr w:name="ProductID" w:val="la Constituci￳n Mexicana"/>
              </w:smartTagPr>
              <w:r w:rsidRPr="006A113D">
                <w:rPr>
                  <w:rFonts w:ascii="Arial" w:hAnsi="Arial" w:cs="Arial"/>
                  <w:color w:val="1A171B"/>
                  <w:sz w:val="22"/>
                </w:rPr>
                <w:t>la Constitución Mexicana</w:t>
              </w:r>
            </w:smartTag>
            <w:r w:rsidRPr="006A113D">
              <w:rPr>
                <w:rFonts w:ascii="Arial" w:hAnsi="Arial" w:cs="Arial"/>
                <w:color w:val="1A171B"/>
                <w:sz w:val="22"/>
              </w:rPr>
              <w:t xml:space="preserve"> Art. 4,  en </w:t>
            </w:r>
            <w:smartTag w:uri="urn:schemas-microsoft-com:office:smarttags" w:element="PersonName">
              <w:smartTagPr>
                <w:attr w:name="ProductID" w:val="la Ley Federal"/>
              </w:smartTagPr>
              <w:r w:rsidRPr="006A113D">
                <w:rPr>
                  <w:rFonts w:ascii="Arial" w:hAnsi="Arial" w:cs="Arial"/>
                  <w:color w:val="1A171B"/>
                  <w:sz w:val="22"/>
                </w:rPr>
                <w:t>la Ley Federal</w:t>
              </w:r>
            </w:smartTag>
            <w:r w:rsidRPr="006A113D">
              <w:rPr>
                <w:rFonts w:ascii="Arial" w:hAnsi="Arial" w:cs="Arial"/>
                <w:color w:val="1A171B"/>
                <w:sz w:val="22"/>
              </w:rPr>
              <w:t xml:space="preserve"> para Prevenir </w:t>
            </w:r>
            <w:smartTag w:uri="urn:schemas-microsoft-com:office:smarttags" w:element="PersonName">
              <w:smartTagPr>
                <w:attr w:name="ProductID" w:val="la Discriminaci￳n"/>
              </w:smartTagPr>
              <w:r w:rsidRPr="006A113D">
                <w:rPr>
                  <w:rFonts w:ascii="Arial" w:hAnsi="Arial" w:cs="Arial"/>
                  <w:color w:val="1A171B"/>
                  <w:sz w:val="22"/>
                </w:rPr>
                <w:t>la Discriminación</w:t>
              </w:r>
            </w:smartTag>
            <w:r w:rsidRPr="006A113D">
              <w:rPr>
                <w:rFonts w:ascii="Arial" w:hAnsi="Arial" w:cs="Arial"/>
                <w:color w:val="1A171B"/>
                <w:sz w:val="22"/>
              </w:rPr>
              <w:t xml:space="preserve"> y en </w:t>
            </w:r>
            <w:smartTag w:uri="urn:schemas-microsoft-com:office:smarttags" w:element="PersonName">
              <w:smartTagPr>
                <w:attr w:name="ProductID" w:val="la Convenci￳n Iberoamericana"/>
              </w:smartTagPr>
              <w:r w:rsidRPr="006A113D">
                <w:rPr>
                  <w:rFonts w:ascii="Arial" w:hAnsi="Arial" w:cs="Arial"/>
                  <w:color w:val="1A171B"/>
                  <w:sz w:val="22"/>
                </w:rPr>
                <w:t>la Convención Iberoamericana</w:t>
              </w:r>
            </w:smartTag>
            <w:r w:rsidRPr="006A113D">
              <w:rPr>
                <w:rFonts w:ascii="Arial" w:hAnsi="Arial" w:cs="Arial"/>
                <w:color w:val="1A171B"/>
                <w:sz w:val="22"/>
              </w:rPr>
              <w:t xml:space="preserve"> de Derechos de los Jóvenes que México ha impulsado, firmado y está en proceso de ratificación.</w:t>
            </w:r>
          </w:p>
          <w:p w:rsidR="002C188E" w:rsidRPr="006A113D" w:rsidRDefault="002C188E" w:rsidP="00950F94">
            <w:pPr>
              <w:autoSpaceDE w:val="0"/>
              <w:autoSpaceDN w:val="0"/>
              <w:adjustRightInd w:val="0"/>
              <w:jc w:val="both"/>
              <w:rPr>
                <w:rFonts w:ascii="Arial" w:hAnsi="Arial" w:cs="Arial"/>
                <w:color w:val="1A171B"/>
              </w:rPr>
            </w:pPr>
          </w:p>
          <w:p w:rsidR="002C188E" w:rsidRPr="006A113D" w:rsidRDefault="002C188E" w:rsidP="00950F94">
            <w:pPr>
              <w:jc w:val="both"/>
              <w:rPr>
                <w:rFonts w:ascii="Arial" w:hAnsi="Arial" w:cs="Arial"/>
              </w:rPr>
            </w:pPr>
            <w:r w:rsidRPr="006A113D">
              <w:rPr>
                <w:rFonts w:ascii="Arial" w:hAnsi="Arial" w:cs="Arial"/>
                <w:sz w:val="22"/>
              </w:rPr>
              <w:t>En algunos países del mundo, el matrimonio entre personas del mismo sexo es legal, como en el caso de España o Suiza. En México aún no se reconoce esta posibilidad. Sin embargo, en el Distrito Federal y en el estado de Coahuila se aprobaron recientemente las leyes de Sociedades de Convivencia y el pacto civil que reconocen diversos tipos de hogares, entre ellos, los formados por parejas del mismo sexo. Estas leyes reconocen derechos patrimoniales, hereditarios, de tutela como cuando alguno de los miembros de la pareja está impedido, por una enfermedad grave o accidente, el otro asume la responsabilidad de la toma de decisiones; además, brindan el derecho de alimentación: si un integrante de la sociedad de convivencia se separa el otro se obliga a otorgarle apoyo para mantenerse mientras encuentra trabajo. Este tipo de leyes se consideran el primer paso hacia el reconocimiento pleno a la igualdad de derechos que deben tener las parejas del mismo sexo.</w:t>
            </w:r>
          </w:p>
          <w:p w:rsidR="002C188E" w:rsidRPr="006A113D" w:rsidRDefault="002C188E" w:rsidP="00950F94">
            <w:pPr>
              <w:jc w:val="both"/>
              <w:rPr>
                <w:rFonts w:ascii="Arial" w:hAnsi="Arial" w:cs="Arial"/>
              </w:rPr>
            </w:pPr>
          </w:p>
          <w:p w:rsidR="002C188E" w:rsidRPr="006A113D" w:rsidRDefault="002C188E" w:rsidP="00950F94">
            <w:pPr>
              <w:jc w:val="both"/>
              <w:rPr>
                <w:rFonts w:ascii="Arial" w:hAnsi="Arial" w:cs="Arial"/>
                <w:u w:val="single"/>
              </w:rPr>
            </w:pPr>
          </w:p>
        </w:tc>
      </w:tr>
      <w:tr w:rsidR="002C188E"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2C188E" w:rsidRPr="006A113D" w:rsidRDefault="002C188E"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23"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188E" w:rsidRPr="006A113D" w:rsidRDefault="002C188E" w:rsidP="00950F94">
            <w:pPr>
              <w:jc w:val="both"/>
              <w:rPr>
                <w:rFonts w:ascii="Arial" w:hAnsi="Arial" w:cs="Arial"/>
                <w:b/>
              </w:rPr>
            </w:pPr>
            <w:r w:rsidRPr="006A113D">
              <w:rPr>
                <w:rFonts w:ascii="Arial" w:hAnsi="Arial" w:cs="Arial"/>
                <w:b/>
                <w:sz w:val="22"/>
              </w:rPr>
              <w:t>MECÁNICA DE APLICACIÓN:</w:t>
            </w:r>
          </w:p>
          <w:p w:rsidR="002C188E" w:rsidRPr="006A113D" w:rsidRDefault="002C188E" w:rsidP="00950F94">
            <w:pPr>
              <w:jc w:val="both"/>
              <w:rPr>
                <w:rFonts w:ascii="Arial" w:hAnsi="Arial" w:cs="Arial"/>
              </w:rPr>
            </w:pPr>
          </w:p>
          <w:p w:rsidR="002C188E" w:rsidRPr="006A113D" w:rsidRDefault="002C188E" w:rsidP="00950F94">
            <w:pPr>
              <w:jc w:val="both"/>
              <w:rPr>
                <w:rFonts w:ascii="Arial" w:hAnsi="Arial" w:cs="Arial"/>
              </w:rPr>
            </w:pPr>
            <w:r w:rsidRPr="006A113D">
              <w:rPr>
                <w:rFonts w:ascii="Arial" w:hAnsi="Arial" w:cs="Arial"/>
                <w:sz w:val="22"/>
              </w:rPr>
              <w:t xml:space="preserve">Para iniciar la sesión, se sugiere al facilitador(a) que presente al grupo de estudiantes, el objetivo del debate que van a llevar a cabo y a los equipos que presentarán posiciones para debatir. </w:t>
            </w:r>
          </w:p>
          <w:p w:rsidR="002C188E" w:rsidRPr="006A113D" w:rsidRDefault="002C188E" w:rsidP="00950F94">
            <w:pPr>
              <w:jc w:val="both"/>
              <w:rPr>
                <w:rFonts w:ascii="Arial" w:hAnsi="Arial" w:cs="Arial"/>
              </w:rPr>
            </w:pPr>
          </w:p>
          <w:p w:rsidR="002C188E" w:rsidRPr="006A113D" w:rsidRDefault="002C188E" w:rsidP="00950F94">
            <w:pPr>
              <w:jc w:val="both"/>
              <w:rPr>
                <w:rFonts w:ascii="Arial" w:hAnsi="Arial" w:cs="Arial"/>
              </w:rPr>
            </w:pPr>
            <w:r w:rsidRPr="006A113D">
              <w:rPr>
                <w:rFonts w:ascii="Arial" w:hAnsi="Arial" w:cs="Arial"/>
                <w:sz w:val="22"/>
              </w:rPr>
              <w:t xml:space="preserve">Recuerde que los equipos que preparan el debate son cuatro: </w:t>
            </w:r>
          </w:p>
          <w:p w:rsidR="002C188E" w:rsidRPr="006A113D" w:rsidRDefault="002C188E" w:rsidP="002C188E">
            <w:pPr>
              <w:pStyle w:val="Prrafodelista1"/>
              <w:numPr>
                <w:ilvl w:val="0"/>
                <w:numId w:val="7"/>
              </w:numPr>
              <w:jc w:val="both"/>
              <w:rPr>
                <w:rFonts w:ascii="Arial" w:hAnsi="Arial" w:cs="Arial"/>
              </w:rPr>
            </w:pPr>
            <w:r w:rsidRPr="006A113D">
              <w:rPr>
                <w:rFonts w:ascii="Arial" w:hAnsi="Arial" w:cs="Arial"/>
                <w:sz w:val="22"/>
              </w:rPr>
              <w:t>Equipo 1: presenta el problema de la discriminación a personas homosexuales y lesbianas. Para ello puede recurrir a testimonios o casos concretos que ejemplifiquen como se ha dado la discriminación y de qué manera afecta a las personas que la viven.</w:t>
            </w:r>
          </w:p>
          <w:p w:rsidR="002C188E" w:rsidRPr="006A113D" w:rsidRDefault="002C188E" w:rsidP="002C188E">
            <w:pPr>
              <w:pStyle w:val="Prrafodelista1"/>
              <w:numPr>
                <w:ilvl w:val="0"/>
                <w:numId w:val="7"/>
              </w:numPr>
              <w:jc w:val="both"/>
              <w:rPr>
                <w:rFonts w:ascii="Arial" w:hAnsi="Arial" w:cs="Arial"/>
                <w:b/>
              </w:rPr>
            </w:pPr>
            <w:r w:rsidRPr="006A113D">
              <w:rPr>
                <w:rFonts w:ascii="Arial" w:hAnsi="Arial" w:cs="Arial"/>
                <w:sz w:val="22"/>
              </w:rPr>
              <w:t>Equipo 2: presenta los argumentos de quienes están a favor de que se limiten algunos derechos de las personas con una orientación sexual distinta. Para ello pueden haber recurrido a un sondeo de opinión entre la comunidad escolar o bien con familiares y amigos; luego, con las ideas que les brinden, estructurar sus argumentos.</w:t>
            </w:r>
          </w:p>
          <w:p w:rsidR="002C188E" w:rsidRPr="006A113D" w:rsidRDefault="002C188E" w:rsidP="002C188E">
            <w:pPr>
              <w:pStyle w:val="Prrafodelista1"/>
              <w:numPr>
                <w:ilvl w:val="0"/>
                <w:numId w:val="7"/>
              </w:numPr>
              <w:jc w:val="both"/>
              <w:rPr>
                <w:rFonts w:ascii="Arial" w:hAnsi="Arial" w:cs="Arial"/>
                <w:b/>
              </w:rPr>
            </w:pPr>
            <w:r w:rsidRPr="006A113D">
              <w:rPr>
                <w:rFonts w:ascii="Arial" w:hAnsi="Arial" w:cs="Arial"/>
                <w:sz w:val="22"/>
              </w:rPr>
              <w:t xml:space="preserve">Equipo 3: presenta los argumentos de quienes están a favor de que no se les limiten derechos porque eso va en contra de su dignidad humana. Para ello pueden haber recurrido a investigar en el sitio web del Consejo Nacional para Prevenir </w:t>
            </w:r>
            <w:smartTag w:uri="urn:schemas-microsoft-com:office:smarttags" w:element="PersonName">
              <w:smartTagPr>
                <w:attr w:name="ProductID" w:val="la Discriminaci￳n"/>
              </w:smartTagPr>
              <w:r w:rsidRPr="006A113D">
                <w:rPr>
                  <w:rFonts w:ascii="Arial" w:hAnsi="Arial" w:cs="Arial"/>
                  <w:sz w:val="22"/>
                </w:rPr>
                <w:t>la Discriminación</w:t>
              </w:r>
            </w:smartTag>
            <w:r w:rsidRPr="006A113D">
              <w:rPr>
                <w:rFonts w:ascii="Arial" w:hAnsi="Arial" w:cs="Arial"/>
                <w:sz w:val="22"/>
              </w:rPr>
              <w:t xml:space="preserve"> (CONAPRED) </w:t>
            </w:r>
            <w:hyperlink r:id="rId14" w:history="1">
              <w:r w:rsidRPr="006A113D">
                <w:rPr>
                  <w:rStyle w:val="Hipervnculo"/>
                  <w:rFonts w:ascii="Arial" w:hAnsi="Arial" w:cs="Arial"/>
                  <w:sz w:val="22"/>
                </w:rPr>
                <w:t>www.conapred.org.mx</w:t>
              </w:r>
            </w:hyperlink>
          </w:p>
          <w:p w:rsidR="002C188E" w:rsidRPr="006A113D" w:rsidRDefault="002C188E" w:rsidP="002C188E">
            <w:pPr>
              <w:pStyle w:val="Prrafodelista1"/>
              <w:numPr>
                <w:ilvl w:val="0"/>
                <w:numId w:val="7"/>
              </w:numPr>
              <w:jc w:val="both"/>
              <w:rPr>
                <w:rFonts w:ascii="Arial" w:hAnsi="Arial" w:cs="Arial"/>
                <w:b/>
              </w:rPr>
            </w:pPr>
            <w:r w:rsidRPr="006A113D">
              <w:rPr>
                <w:rFonts w:ascii="Arial" w:hAnsi="Arial" w:cs="Arial"/>
                <w:sz w:val="22"/>
              </w:rPr>
              <w:t>Equipo 4: presenta los argumentos de quienes están a favor de que no se les reconozca derechos porque hacerlo acarreará muchos problemas a la sociedad y qué más bien se les someta a rehabilitación para que puedan llegar a ser “normales”. Para ello pueden haber recurrido a entrevistar a personas que sostengan esta posición ya sea en la comunidad educativa o en su localidad, para que conozcan las razones que dan para afirmar que las orientaciones sexuales distintas son una enfermedad, una perversión o incluso un delito.</w:t>
            </w:r>
          </w:p>
          <w:p w:rsidR="002C188E" w:rsidRPr="006A113D" w:rsidRDefault="002C188E" w:rsidP="00950F94">
            <w:pPr>
              <w:jc w:val="both"/>
              <w:rPr>
                <w:rFonts w:ascii="Arial" w:hAnsi="Arial" w:cs="Arial"/>
                <w:lang w:val="es-ES"/>
              </w:rPr>
            </w:pP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 xml:space="preserve">El facilitador(a) organizará al grupo dando las indicaciones o reglas del debate, repartiendo dos o tres semillas para que las y </w:t>
            </w:r>
            <w:r w:rsidRPr="006A113D">
              <w:rPr>
                <w:rFonts w:ascii="Arial" w:hAnsi="Arial" w:cs="Arial"/>
                <w:sz w:val="22"/>
              </w:rPr>
              <w:lastRenderedPageBreak/>
              <w:t xml:space="preserve">los participantes del grupo que no son parte de los equipos puedan hacer uso de la palabra y entregándoles una fotocopia de los principios para el diálogo. </w:t>
            </w: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El facilitador(a) dará las indicaciones de procedimiento: primero escucharán al equipo 1 hacer el planteamiento del problema; luego escucharán a cada uno los equipos que presentará sus argumentos  de acuerdo con la postura que prepararon y a los que se les dará un máximo de 5 minutos a cada uno, en una primera ronda. Luego vendrán algunas intervenciones del “publico” para apoyar alguna posición y se repetirá el procedimiento una vez más antes de concluir el debate y que el “publico” otorgue su voto a la posición más razonada y razonable.</w:t>
            </w: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El facilitador(a) hará de moderador o bien puede nombrar a un(a) estudiante para que modere el debate.</w:t>
            </w: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Una vez que todos los equipos hayan planteado sus posiciones, dará la palabra al grupo, para que expresen sus opiniones reforzando alguna de las posiciones que han escuchado. Cada participante tendrá dos o tres semillas que les habrán sido repartidas previamente para regular las intervenciones de una misma persona. En el momento de hacer uso de la palabra tendrán que depositar una semilla en una bolsa colocada al centro del salón.</w:t>
            </w: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La función del moderador consistirá en dar la palabra a quienes quieran participar y supervisar que cada vez que alguien lo haga deposite un garbanzo en la bolsa.</w:t>
            </w: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Luego de algunas intervenciones del grupo, el facilitador(a) organiza otra ronda de participaciones de cada uno de los tres equipos que expresaron sus posiciones dándoles de nuevo como máximo 5 minutos a cada uno.</w:t>
            </w: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Por último, le da la palabra a jóvenes del grupo para que refuten o apoyen alguna posición y concluye el debate.</w:t>
            </w:r>
          </w:p>
          <w:p w:rsidR="002C188E" w:rsidRPr="006A113D" w:rsidRDefault="002C188E" w:rsidP="002C188E">
            <w:pPr>
              <w:pStyle w:val="Textocomentario"/>
              <w:numPr>
                <w:ilvl w:val="0"/>
                <w:numId w:val="6"/>
              </w:numPr>
              <w:tabs>
                <w:tab w:val="clear" w:pos="1440"/>
                <w:tab w:val="num" w:pos="360"/>
              </w:tabs>
              <w:spacing w:before="0" w:beforeAutospacing="0" w:after="0" w:afterAutospacing="0"/>
              <w:ind w:left="360"/>
              <w:rPr>
                <w:rFonts w:ascii="Arial" w:hAnsi="Arial" w:cs="Arial"/>
              </w:rPr>
            </w:pPr>
            <w:r w:rsidRPr="006A113D">
              <w:rPr>
                <w:rFonts w:ascii="Arial" w:hAnsi="Arial" w:cs="Arial"/>
                <w:sz w:val="22"/>
              </w:rPr>
              <w:t>Como última actividad para las y los estudiantes, el facilitador pide que en una papeleta que les distribuye en ese momento, escriban a qué equipo le dan su voto y por qué, es decir, que expliquen sus razones basándose en la veracidad de los argumentos planteados.</w:t>
            </w:r>
          </w:p>
          <w:p w:rsidR="002C188E" w:rsidRPr="006A113D" w:rsidRDefault="002C188E" w:rsidP="00950F94">
            <w:pPr>
              <w:pStyle w:val="Textocomentario"/>
              <w:spacing w:before="0" w:beforeAutospacing="0" w:after="0" w:afterAutospacing="0"/>
              <w:jc w:val="both"/>
              <w:rPr>
                <w:rFonts w:ascii="Arial" w:hAnsi="Arial" w:cs="Arial"/>
              </w:rPr>
            </w:pPr>
          </w:p>
          <w:p w:rsidR="002C188E" w:rsidRPr="006A113D" w:rsidRDefault="002C188E" w:rsidP="00950F94">
            <w:pPr>
              <w:pStyle w:val="Textocomentario"/>
              <w:spacing w:before="0" w:beforeAutospacing="0" w:after="0" w:afterAutospacing="0"/>
              <w:jc w:val="both"/>
              <w:rPr>
                <w:rFonts w:ascii="Arial" w:hAnsi="Arial" w:cs="Arial"/>
              </w:rPr>
            </w:pPr>
            <w:r w:rsidRPr="006A113D">
              <w:rPr>
                <w:rFonts w:ascii="Arial" w:hAnsi="Arial" w:cs="Arial"/>
                <w:sz w:val="22"/>
              </w:rPr>
              <w:t xml:space="preserve">Una vez concluido el debate, se sugiere al facilitador(a) que recupere la experiencia del grupo. Para ello puede usar las siguientes preguntas: ¿Cómo se sintieron? ¿Cambió su forma de pensar después de escuchar los argumentos de las demás personas?, ¿Por qué hay veces que no escuchamos a los demás?, ¿Qué conclusiones podemos sacar del ejercicio? </w:t>
            </w:r>
          </w:p>
          <w:p w:rsidR="002C188E" w:rsidRPr="006A113D" w:rsidRDefault="002C188E" w:rsidP="00950F94">
            <w:pPr>
              <w:jc w:val="both"/>
              <w:rPr>
                <w:rFonts w:ascii="Arial" w:hAnsi="Arial" w:cs="Arial"/>
              </w:rPr>
            </w:pPr>
          </w:p>
          <w:p w:rsidR="002C188E" w:rsidRPr="006A113D" w:rsidRDefault="002C188E" w:rsidP="00950F94">
            <w:pPr>
              <w:jc w:val="both"/>
              <w:rPr>
                <w:rFonts w:ascii="Arial" w:hAnsi="Arial" w:cs="Arial"/>
              </w:rPr>
            </w:pPr>
            <w:r w:rsidRPr="006A113D">
              <w:rPr>
                <w:rFonts w:ascii="Arial" w:hAnsi="Arial" w:cs="Arial"/>
              </w:rPr>
              <w:t>Es importante que al final del ejercicio, el facilitador(a) enfatice el carácter democrático del diálogo y debate público que han ejercitado.</w:t>
            </w:r>
          </w:p>
          <w:p w:rsidR="002C188E" w:rsidRPr="006A113D" w:rsidRDefault="002C188E" w:rsidP="00950F94">
            <w:pPr>
              <w:jc w:val="both"/>
              <w:rPr>
                <w:rFonts w:ascii="Arial" w:hAnsi="Arial" w:cs="Arial"/>
              </w:rPr>
            </w:pPr>
          </w:p>
          <w:p w:rsidR="002C188E" w:rsidRPr="006A113D" w:rsidRDefault="002C188E" w:rsidP="00950F94">
            <w:pPr>
              <w:jc w:val="both"/>
              <w:rPr>
                <w:rFonts w:ascii="Arial" w:hAnsi="Arial" w:cs="Arial"/>
              </w:rPr>
            </w:pPr>
          </w:p>
        </w:tc>
      </w:tr>
    </w:tbl>
    <w:p w:rsidR="002C188E" w:rsidRPr="006A113D" w:rsidRDefault="002C188E" w:rsidP="002C188E">
      <w:pPr>
        <w:rPr>
          <w:rFonts w:ascii="Arial" w:hAnsi="Arial" w:cs="Arial"/>
        </w:rPr>
      </w:pPr>
    </w:p>
    <w:p w:rsidR="002C188E" w:rsidRDefault="002C188E" w:rsidP="002C188E">
      <w:pPr>
        <w:spacing w:after="200" w:line="276" w:lineRule="auto"/>
        <w:rPr>
          <w:rFonts w:ascii="Arial" w:hAnsi="Arial" w:cs="Arial"/>
        </w:rPr>
      </w:pPr>
    </w:p>
    <w:p w:rsidR="002C188E" w:rsidRPr="006A113D" w:rsidRDefault="002C188E" w:rsidP="002C188E">
      <w:pPr>
        <w:spacing w:after="200" w:line="276" w:lineRule="auto"/>
        <w:rPr>
          <w:rFonts w:ascii="Arial" w:hAnsi="Arial" w:cs="Arial"/>
        </w:rPr>
      </w:pPr>
    </w:p>
    <w:p w:rsidR="002C188E" w:rsidRPr="006A113D" w:rsidRDefault="002C188E" w:rsidP="002C188E">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6A113D">
        <w:rPr>
          <w:rFonts w:ascii="Arial" w:hAnsi="Arial" w:cs="Arial"/>
          <w:b/>
          <w:sz w:val="28"/>
          <w:szCs w:val="28"/>
        </w:rPr>
        <w:t>Los criterios del diálogo</w:t>
      </w:r>
    </w:p>
    <w:p w:rsidR="002C188E" w:rsidRPr="006A113D" w:rsidRDefault="002C188E" w:rsidP="002C188E">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p>
    <w:p w:rsidR="002C188E" w:rsidRPr="006A113D" w:rsidRDefault="002C188E" w:rsidP="002C188E">
      <w:pPr>
        <w:pBdr>
          <w:top w:val="single" w:sz="4" w:space="1" w:color="auto"/>
          <w:left w:val="single" w:sz="4" w:space="4" w:color="auto"/>
          <w:bottom w:val="single" w:sz="4" w:space="1" w:color="auto"/>
          <w:right w:val="single" w:sz="4" w:space="4" w:color="auto"/>
        </w:pBdr>
        <w:jc w:val="both"/>
        <w:rPr>
          <w:rFonts w:ascii="Arial" w:hAnsi="Arial" w:cs="Arial"/>
        </w:rPr>
      </w:pPr>
      <w:r w:rsidRPr="006A113D">
        <w:rPr>
          <w:rFonts w:ascii="Arial" w:hAnsi="Arial" w:cs="Arial"/>
        </w:rPr>
        <w:t>En situaciones problemáticas, es posible observar que el diálogo se vuelve una búsqueda de lo que es verdadero y justo y debe realizarse de manera cooperativa, es decir, cada personas debe estar dispuesta a aportar una parte importante a ese diálogo, con el fin de encontrar entre todas una solución justa al problema o al conflicto que se está viviendo.</w:t>
      </w:r>
    </w:p>
    <w:p w:rsidR="002C188E" w:rsidRPr="006A113D" w:rsidRDefault="002C188E" w:rsidP="002C188E">
      <w:pPr>
        <w:pBdr>
          <w:top w:val="single" w:sz="4" w:space="1" w:color="auto"/>
          <w:left w:val="single" w:sz="4" w:space="4" w:color="auto"/>
          <w:bottom w:val="single" w:sz="4" w:space="1" w:color="auto"/>
          <w:right w:val="single" w:sz="4" w:space="4" w:color="auto"/>
        </w:pBdr>
        <w:jc w:val="both"/>
        <w:rPr>
          <w:rFonts w:ascii="Arial" w:hAnsi="Arial" w:cs="Arial"/>
        </w:rPr>
      </w:pPr>
    </w:p>
    <w:p w:rsidR="002C188E" w:rsidRPr="006A113D" w:rsidRDefault="002C188E" w:rsidP="002C188E">
      <w:pPr>
        <w:pBdr>
          <w:top w:val="single" w:sz="4" w:space="1" w:color="auto"/>
          <w:left w:val="single" w:sz="4" w:space="4" w:color="auto"/>
          <w:bottom w:val="single" w:sz="4" w:space="1" w:color="auto"/>
          <w:right w:val="single" w:sz="4" w:space="4" w:color="auto"/>
        </w:pBdr>
        <w:spacing w:after="120"/>
        <w:jc w:val="both"/>
        <w:rPr>
          <w:rFonts w:ascii="Arial" w:hAnsi="Arial" w:cs="Arial"/>
        </w:rPr>
      </w:pPr>
      <w:r w:rsidRPr="006A113D">
        <w:rPr>
          <w:rFonts w:ascii="Arial" w:hAnsi="Arial" w:cs="Arial"/>
        </w:rPr>
        <w:t>Para que el diálogo se realice de esta forma, es necesario reunir las siguientes condiciones.</w:t>
      </w:r>
    </w:p>
    <w:p w:rsidR="002C188E" w:rsidRPr="006A113D" w:rsidRDefault="002C188E" w:rsidP="002C188E">
      <w:pPr>
        <w:numPr>
          <w:ilvl w:val="3"/>
          <w:numId w:val="8"/>
        </w:numPr>
        <w:pBdr>
          <w:top w:val="single" w:sz="4" w:space="1" w:color="auto"/>
          <w:left w:val="single" w:sz="4" w:space="4" w:color="auto"/>
          <w:bottom w:val="single" w:sz="4" w:space="1" w:color="auto"/>
          <w:right w:val="single" w:sz="4" w:space="4" w:color="auto"/>
        </w:pBdr>
        <w:tabs>
          <w:tab w:val="clear" w:pos="2880"/>
        </w:tabs>
        <w:ind w:left="360"/>
        <w:jc w:val="both"/>
        <w:rPr>
          <w:rFonts w:ascii="Arial" w:hAnsi="Arial" w:cs="Arial"/>
        </w:rPr>
      </w:pPr>
      <w:r w:rsidRPr="006A113D">
        <w:rPr>
          <w:rFonts w:ascii="Arial" w:hAnsi="Arial" w:cs="Arial"/>
        </w:rPr>
        <w:t>Deben participar todas las personas afectadas por la decisión final; pero si esto no es posible, se debe garantizar que, por lo menos, participen sus representantes.</w:t>
      </w:r>
    </w:p>
    <w:p w:rsidR="002C188E" w:rsidRPr="006A113D" w:rsidRDefault="002C188E" w:rsidP="002C188E">
      <w:pPr>
        <w:numPr>
          <w:ilvl w:val="3"/>
          <w:numId w:val="8"/>
        </w:numPr>
        <w:pBdr>
          <w:top w:val="single" w:sz="4" w:space="1" w:color="auto"/>
          <w:left w:val="single" w:sz="4" w:space="4" w:color="auto"/>
          <w:bottom w:val="single" w:sz="4" w:space="1" w:color="auto"/>
          <w:right w:val="single" w:sz="4" w:space="4" w:color="auto"/>
        </w:pBdr>
        <w:tabs>
          <w:tab w:val="clear" w:pos="2880"/>
        </w:tabs>
        <w:ind w:left="360"/>
        <w:jc w:val="both"/>
        <w:rPr>
          <w:rFonts w:ascii="Arial" w:hAnsi="Arial" w:cs="Arial"/>
        </w:rPr>
      </w:pPr>
      <w:r w:rsidRPr="006A113D">
        <w:rPr>
          <w:rFonts w:ascii="Arial" w:hAnsi="Arial" w:cs="Arial"/>
        </w:rPr>
        <w:t>Estar dispuestos a escuchar lo que aporte la persona o personas con quienes se realiza el diálogo.</w:t>
      </w:r>
    </w:p>
    <w:p w:rsidR="002C188E" w:rsidRPr="006A113D" w:rsidRDefault="002C188E" w:rsidP="002C188E">
      <w:pPr>
        <w:numPr>
          <w:ilvl w:val="3"/>
          <w:numId w:val="8"/>
        </w:numPr>
        <w:pBdr>
          <w:top w:val="single" w:sz="4" w:space="1" w:color="auto"/>
          <w:left w:val="single" w:sz="4" w:space="4" w:color="auto"/>
          <w:bottom w:val="single" w:sz="4" w:space="1" w:color="auto"/>
          <w:right w:val="single" w:sz="4" w:space="4" w:color="auto"/>
        </w:pBdr>
        <w:tabs>
          <w:tab w:val="clear" w:pos="2880"/>
        </w:tabs>
        <w:ind w:left="360"/>
        <w:jc w:val="both"/>
        <w:rPr>
          <w:rFonts w:ascii="Arial" w:hAnsi="Arial" w:cs="Arial"/>
        </w:rPr>
      </w:pPr>
      <w:r w:rsidRPr="006A113D">
        <w:rPr>
          <w:rFonts w:ascii="Arial" w:hAnsi="Arial" w:cs="Arial"/>
        </w:rPr>
        <w:t>Entender que la persona con la que se dialoga es alguien a quien tenemos que escuchar y con quien debemos entendernos y no a quien debemos convencer, pues no tenemos toda la verdad.</w:t>
      </w:r>
    </w:p>
    <w:p w:rsidR="002C188E" w:rsidRPr="006A113D" w:rsidRDefault="002C188E" w:rsidP="002C188E">
      <w:pPr>
        <w:numPr>
          <w:ilvl w:val="3"/>
          <w:numId w:val="8"/>
        </w:numPr>
        <w:pBdr>
          <w:top w:val="single" w:sz="4" w:space="1" w:color="auto"/>
          <w:left w:val="single" w:sz="4" w:space="4" w:color="auto"/>
          <w:bottom w:val="single" w:sz="4" w:space="1" w:color="auto"/>
          <w:right w:val="single" w:sz="4" w:space="4" w:color="auto"/>
        </w:pBdr>
        <w:tabs>
          <w:tab w:val="clear" w:pos="2880"/>
        </w:tabs>
        <w:ind w:left="360"/>
        <w:jc w:val="both"/>
        <w:rPr>
          <w:rFonts w:ascii="Arial" w:hAnsi="Arial" w:cs="Arial"/>
        </w:rPr>
      </w:pPr>
      <w:r w:rsidRPr="006A113D">
        <w:rPr>
          <w:rFonts w:ascii="Arial" w:hAnsi="Arial" w:cs="Arial"/>
        </w:rPr>
        <w:t>Estar dispuesto a escuchar, ya sea para mantener la misma posición si no convencen los argumentos de la otra persona, o para modificarla si éstos nos convencen; pero también a exponer los propios argumentos.</w:t>
      </w:r>
    </w:p>
    <w:p w:rsidR="002C188E" w:rsidRPr="006A113D" w:rsidRDefault="002C188E" w:rsidP="002C188E">
      <w:pPr>
        <w:numPr>
          <w:ilvl w:val="3"/>
          <w:numId w:val="8"/>
        </w:numPr>
        <w:pBdr>
          <w:top w:val="single" w:sz="4" w:space="1" w:color="auto"/>
          <w:left w:val="single" w:sz="4" w:space="4" w:color="auto"/>
          <w:bottom w:val="single" w:sz="4" w:space="1" w:color="auto"/>
          <w:right w:val="single" w:sz="4" w:space="4" w:color="auto"/>
        </w:pBdr>
        <w:tabs>
          <w:tab w:val="clear" w:pos="2880"/>
        </w:tabs>
        <w:ind w:left="360"/>
        <w:jc w:val="both"/>
        <w:rPr>
          <w:rFonts w:ascii="Arial" w:hAnsi="Arial" w:cs="Arial"/>
        </w:rPr>
      </w:pPr>
      <w:r w:rsidRPr="006A113D">
        <w:rPr>
          <w:rFonts w:ascii="Arial" w:hAnsi="Arial" w:cs="Arial"/>
        </w:rPr>
        <w:t>Preocuparse por encontrar una solución justa, a partir del entendimiento y del descubrimiento de lo que se tiene en común.</w:t>
      </w:r>
    </w:p>
    <w:p w:rsidR="002C188E" w:rsidRPr="006A113D" w:rsidRDefault="002C188E" w:rsidP="002C188E">
      <w:pPr>
        <w:numPr>
          <w:ilvl w:val="3"/>
          <w:numId w:val="8"/>
        </w:numPr>
        <w:pBdr>
          <w:top w:val="single" w:sz="4" w:space="1" w:color="auto"/>
          <w:left w:val="single" w:sz="4" w:space="4" w:color="auto"/>
          <w:bottom w:val="single" w:sz="4" w:space="1" w:color="auto"/>
          <w:right w:val="single" w:sz="4" w:space="4" w:color="auto"/>
        </w:pBdr>
        <w:tabs>
          <w:tab w:val="clear" w:pos="2880"/>
        </w:tabs>
        <w:spacing w:after="120"/>
        <w:ind w:left="360"/>
        <w:jc w:val="both"/>
        <w:rPr>
          <w:rFonts w:ascii="Arial" w:hAnsi="Arial" w:cs="Arial"/>
        </w:rPr>
      </w:pPr>
      <w:r w:rsidRPr="006A113D">
        <w:rPr>
          <w:rFonts w:ascii="Arial" w:hAnsi="Arial" w:cs="Arial"/>
        </w:rPr>
        <w:t>La decisión final, para ser justa, no debe atender a intereses individuales o de grupo, sino a intereses universales; es decir, de todas las personas afectadas.</w:t>
      </w:r>
    </w:p>
    <w:p w:rsidR="002C188E" w:rsidRPr="006A113D" w:rsidRDefault="002C188E" w:rsidP="002C188E">
      <w:pPr>
        <w:numPr>
          <w:ilvl w:val="3"/>
          <w:numId w:val="8"/>
        </w:numPr>
        <w:pBdr>
          <w:top w:val="single" w:sz="4" w:space="1" w:color="auto"/>
          <w:left w:val="single" w:sz="4" w:space="4" w:color="auto"/>
          <w:bottom w:val="single" w:sz="4" w:space="1" w:color="auto"/>
          <w:right w:val="single" w:sz="4" w:space="4" w:color="auto"/>
        </w:pBdr>
        <w:tabs>
          <w:tab w:val="clear" w:pos="2880"/>
        </w:tabs>
        <w:spacing w:after="120"/>
        <w:ind w:left="360"/>
        <w:jc w:val="both"/>
        <w:rPr>
          <w:rFonts w:ascii="Arial" w:hAnsi="Arial" w:cs="Arial"/>
        </w:rPr>
      </w:pPr>
      <w:r w:rsidRPr="006A113D">
        <w:rPr>
          <w:rFonts w:ascii="Arial" w:hAnsi="Arial" w:cs="Arial"/>
        </w:rPr>
        <w:t>La decisión final debe estar abierta a revisiones; debe de haber una actitud de disposición a rectificar el error cometido.</w:t>
      </w:r>
    </w:p>
    <w:p w:rsidR="002C188E" w:rsidRPr="006A113D" w:rsidRDefault="002C188E" w:rsidP="002C188E">
      <w:pPr>
        <w:pBdr>
          <w:top w:val="single" w:sz="4" w:space="1" w:color="auto"/>
          <w:left w:val="single" w:sz="4" w:space="4" w:color="auto"/>
          <w:bottom w:val="single" w:sz="4" w:space="1" w:color="auto"/>
          <w:right w:val="single" w:sz="4" w:space="4" w:color="auto"/>
        </w:pBdr>
        <w:jc w:val="right"/>
        <w:rPr>
          <w:rFonts w:ascii="Arial" w:hAnsi="Arial" w:cs="Arial"/>
          <w:sz w:val="20"/>
          <w:szCs w:val="20"/>
        </w:rPr>
      </w:pPr>
      <w:r w:rsidRPr="006A113D">
        <w:rPr>
          <w:rFonts w:ascii="Arial" w:hAnsi="Arial" w:cs="Arial"/>
          <w:sz w:val="20"/>
          <w:szCs w:val="20"/>
        </w:rPr>
        <w:t xml:space="preserve">Ciudadanía. Participemos activamente. Libro del adulto. D.R. </w:t>
      </w:r>
    </w:p>
    <w:p w:rsidR="002C188E" w:rsidRPr="006A113D" w:rsidRDefault="002C188E" w:rsidP="002C188E">
      <w:pPr>
        <w:pBdr>
          <w:top w:val="single" w:sz="4" w:space="1" w:color="auto"/>
          <w:left w:val="single" w:sz="4" w:space="4" w:color="auto"/>
          <w:bottom w:val="single" w:sz="4" w:space="1" w:color="auto"/>
          <w:right w:val="single" w:sz="4" w:space="4" w:color="auto"/>
        </w:pBdr>
        <w:jc w:val="right"/>
        <w:rPr>
          <w:rFonts w:ascii="Arial" w:hAnsi="Arial" w:cs="Arial"/>
          <w:sz w:val="20"/>
          <w:szCs w:val="20"/>
        </w:rPr>
      </w:pPr>
      <w:r w:rsidRPr="006A113D">
        <w:rPr>
          <w:rFonts w:ascii="Arial" w:hAnsi="Arial" w:cs="Arial"/>
          <w:sz w:val="20"/>
          <w:szCs w:val="20"/>
        </w:rPr>
        <w:t xml:space="preserve">Instituto Nacional para </w:t>
      </w:r>
      <w:smartTag w:uri="urn:schemas-microsoft-com:office:smarttags" w:element="PersonName">
        <w:smartTagPr>
          <w:attr w:name="ProductID" w:val="la Educaci￳n"/>
        </w:smartTagPr>
        <w:r w:rsidRPr="006A113D">
          <w:rPr>
            <w:rFonts w:ascii="Arial" w:hAnsi="Arial" w:cs="Arial"/>
            <w:sz w:val="20"/>
            <w:szCs w:val="20"/>
          </w:rPr>
          <w:t>la Educación</w:t>
        </w:r>
      </w:smartTag>
      <w:r w:rsidRPr="006A113D">
        <w:rPr>
          <w:rFonts w:ascii="Arial" w:hAnsi="Arial" w:cs="Arial"/>
          <w:sz w:val="20"/>
          <w:szCs w:val="20"/>
        </w:rPr>
        <w:t xml:space="preserve"> de los Adultos, INEA. </w:t>
      </w:r>
    </w:p>
    <w:p w:rsidR="002C188E" w:rsidRPr="006A113D" w:rsidRDefault="002C188E" w:rsidP="002C188E">
      <w:pPr>
        <w:pBdr>
          <w:top w:val="single" w:sz="4" w:space="1" w:color="auto"/>
          <w:left w:val="single" w:sz="4" w:space="4" w:color="auto"/>
          <w:bottom w:val="single" w:sz="4" w:space="1" w:color="auto"/>
          <w:right w:val="single" w:sz="4" w:space="4" w:color="auto"/>
        </w:pBdr>
        <w:jc w:val="right"/>
        <w:rPr>
          <w:rFonts w:ascii="Arial" w:hAnsi="Arial" w:cs="Arial"/>
        </w:rPr>
      </w:pPr>
      <w:r w:rsidRPr="006A113D">
        <w:rPr>
          <w:rFonts w:ascii="Arial" w:hAnsi="Arial" w:cs="Arial"/>
          <w:sz w:val="20"/>
          <w:szCs w:val="20"/>
        </w:rPr>
        <w:t>México, D.F. Versión de prueba 2005, p.p. 65-67.</w:t>
      </w:r>
    </w:p>
    <w:p w:rsidR="005541A4" w:rsidRDefault="005541A4" w:rsidP="002C188E"/>
    <w:sectPr w:rsidR="005541A4"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1F4" w:rsidRDefault="004071F4" w:rsidP="002C188E">
      <w:r>
        <w:separator/>
      </w:r>
    </w:p>
  </w:endnote>
  <w:endnote w:type="continuationSeparator" w:id="0">
    <w:p w:rsidR="004071F4" w:rsidRDefault="004071F4"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1F4" w:rsidRDefault="004071F4" w:rsidP="002C188E">
      <w:r>
        <w:separator/>
      </w:r>
    </w:p>
  </w:footnote>
  <w:footnote w:type="continuationSeparator" w:id="0">
    <w:p w:rsidR="004071F4" w:rsidRDefault="004071F4" w:rsidP="002C188E">
      <w:r>
        <w:continuationSeparator/>
      </w:r>
    </w:p>
  </w:footnote>
  <w:footnote w:id="1">
    <w:p w:rsidR="002C188E" w:rsidRDefault="002C188E" w:rsidP="002C188E">
      <w:pPr>
        <w:pStyle w:val="Textonotapie"/>
        <w:jc w:val="both"/>
      </w:pPr>
      <w:r>
        <w:rPr>
          <w:rStyle w:val="Refdenotaalpie"/>
        </w:rPr>
        <w:footnoteRef/>
      </w:r>
      <w:r>
        <w:t xml:space="preserve"> De los 24 países que componen </w:t>
      </w:r>
      <w:smartTag w:uri="urn:schemas-microsoft-com:office:smarttags" w:element="PersonName">
        <w:smartTagPr>
          <w:attr w:name="ProductID" w:val="la Liga"/>
        </w:smartTagPr>
        <w:r>
          <w:t>la Liga</w:t>
        </w:r>
      </w:smartTag>
      <w:r>
        <w:t xml:space="preserve"> Árabe, sólo Egipto no considera la homosexualidad como un delito; en los demás se penaliza con la cárcel e incluso con la pena de muerte, como en Yemen, Mauritania, Qatar, Irán o Afganistán. En Malasia, Bangladesh y Pakistán la homosexualidad es condenada con penas que pueden llegar a los diez años de cárcel. Los </w:t>
      </w:r>
      <w:r w:rsidRPr="00656321">
        <w:t>homosexuales</w:t>
      </w:r>
      <w:r>
        <w:t xml:space="preserve"> son perseguidos y tratados como enfermos, con electroshocks y otros tratamientos similares. Pero no sólo en los países árabes se persigue a los homosexuales; por ejemplo, en Rumania, Bulgaria o </w:t>
      </w:r>
      <w:r w:rsidRPr="00656321">
        <w:t>Liechtenstein</w:t>
      </w:r>
      <w:r>
        <w:t>, se considera un agravante de las penas y en México y Brasil, son hostigados y agredidos por bandas.</w:t>
      </w:r>
    </w:p>
  </w:footnote>
  <w:footnote w:id="2">
    <w:p w:rsidR="002C188E" w:rsidRDefault="002C188E" w:rsidP="002C188E">
      <w:pPr>
        <w:pStyle w:val="Textonotapie"/>
        <w:jc w:val="both"/>
      </w:pPr>
      <w:r>
        <w:rPr>
          <w:rStyle w:val="Refdenotaalpie"/>
        </w:rPr>
        <w:footnoteRef/>
      </w:r>
      <w:r>
        <w:t xml:space="preserve"> Como se señaló, no siempre se reconocen como una condición humana y más bien se califican de patología, perversión y hasta delito.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7">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1"/>
  </w:num>
  <w:num w:numId="4">
    <w:abstractNumId w:val="4"/>
  </w:num>
  <w:num w:numId="5">
    <w:abstractNumId w:val="6"/>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2C188E"/>
    <w:rsid w:val="004071F4"/>
    <w:rsid w:val="005541A4"/>
    <w:rsid w:val="009774AB"/>
    <w:rsid w:val="00C613F8"/>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onapred.org.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2183</Words>
  <Characters>12010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2010-06-30T17:33:00Z</dcterms:created>
  <dcterms:modified xsi:type="dcterms:W3CDTF">2010-06-30T17:33:00Z</dcterms:modified>
</cp:coreProperties>
</file>